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71" w:rsidRPr="000443BE" w:rsidRDefault="00692B82" w:rsidP="000443BE">
      <w:pPr>
        <w:jc w:val="center"/>
        <w:rPr>
          <w:rFonts w:ascii="GHEA Grapalat" w:hAnsi="GHEA Grapalat"/>
          <w:b/>
          <w:color w:val="201F1E"/>
          <w:sz w:val="24"/>
          <w:szCs w:val="24"/>
          <w:shd w:val="clear" w:color="auto" w:fill="FFFFFF"/>
          <w:lang w:val="en-US"/>
        </w:rPr>
      </w:pPr>
      <w:r w:rsidRPr="000443BE">
        <w:rPr>
          <w:rFonts w:ascii="GHEA Grapalat" w:hAnsi="GHEA Grapalat"/>
          <w:b/>
          <w:color w:val="201F1E"/>
          <w:sz w:val="24"/>
          <w:szCs w:val="24"/>
          <w:shd w:val="clear" w:color="auto" w:fill="FFFFFF"/>
          <w:lang w:val="en-US"/>
        </w:rPr>
        <w:t>S</w:t>
      </w:r>
      <w:r w:rsidRPr="000443BE">
        <w:rPr>
          <w:rFonts w:ascii="GHEA Grapalat" w:hAnsi="GHEA Grapalat"/>
          <w:b/>
          <w:color w:val="201F1E"/>
          <w:sz w:val="24"/>
          <w:szCs w:val="24"/>
          <w:shd w:val="clear" w:color="auto" w:fill="FFFFFF"/>
          <w:lang w:val="en-US"/>
        </w:rPr>
        <w:t xml:space="preserve">tatement of </w:t>
      </w:r>
      <w:r w:rsidR="00AA6626">
        <w:rPr>
          <w:rFonts w:ascii="GHEA Grapalat" w:hAnsi="GHEA Grapalat"/>
          <w:b/>
          <w:color w:val="201F1E"/>
          <w:sz w:val="24"/>
          <w:szCs w:val="24"/>
          <w:shd w:val="clear" w:color="auto" w:fill="FFFFFF"/>
          <w:lang w:val="en-US"/>
        </w:rPr>
        <w:t>I</w:t>
      </w:r>
      <w:r w:rsidRPr="000443BE">
        <w:rPr>
          <w:rFonts w:ascii="GHEA Grapalat" w:hAnsi="GHEA Grapalat"/>
          <w:b/>
          <w:color w:val="201F1E"/>
          <w:sz w:val="24"/>
          <w:szCs w:val="24"/>
          <w:shd w:val="clear" w:color="auto" w:fill="FFFFFF"/>
          <w:lang w:val="en-US"/>
        </w:rPr>
        <w:t xml:space="preserve">nterest for </w:t>
      </w:r>
      <w:r w:rsidR="00AA6626">
        <w:rPr>
          <w:rFonts w:ascii="GHEA Grapalat" w:hAnsi="GHEA Grapalat"/>
          <w:b/>
          <w:color w:val="201F1E"/>
          <w:sz w:val="24"/>
          <w:szCs w:val="24"/>
          <w:shd w:val="clear" w:color="auto" w:fill="FFFFFF"/>
          <w:lang w:val="en-US"/>
        </w:rPr>
        <w:t>C</w:t>
      </w:r>
      <w:r w:rsidRPr="000443BE">
        <w:rPr>
          <w:rFonts w:ascii="GHEA Grapalat" w:hAnsi="GHEA Grapalat"/>
          <w:b/>
          <w:color w:val="201F1E"/>
          <w:sz w:val="24"/>
          <w:szCs w:val="24"/>
          <w:shd w:val="clear" w:color="auto" w:fill="FFFFFF"/>
          <w:lang w:val="en-US"/>
        </w:rPr>
        <w:t>ooperation</w:t>
      </w:r>
    </w:p>
    <w:p w:rsidR="00692B82" w:rsidRPr="000443BE" w:rsidRDefault="00692B82" w:rsidP="00917FEB">
      <w:pPr>
        <w:rPr>
          <w:rFonts w:ascii="GHEA Grapalat" w:hAnsi="GHEA Grapalat"/>
          <w:color w:val="201F1E"/>
          <w:sz w:val="24"/>
          <w:szCs w:val="24"/>
          <w:shd w:val="clear" w:color="auto" w:fill="FFFFFF"/>
          <w:lang w:val="en-US"/>
        </w:rPr>
      </w:pPr>
    </w:p>
    <w:p w:rsidR="007332FD" w:rsidRPr="000443BE" w:rsidRDefault="007332FD" w:rsidP="00F83D05">
      <w:pPr>
        <w:ind w:firstLine="720"/>
        <w:jc w:val="both"/>
        <w:rPr>
          <w:rFonts w:ascii="GHEA Grapalat" w:eastAsia="Times New Roman" w:hAnsi="GHEA Grapalat" w:cs="Arial"/>
          <w:sz w:val="24"/>
          <w:szCs w:val="24"/>
          <w:lang w:val="en-US"/>
        </w:rPr>
      </w:pPr>
      <w:r w:rsidRPr="000443BE">
        <w:rPr>
          <w:rFonts w:ascii="GHEA Grapalat" w:eastAsia="Times New Roman" w:hAnsi="GHEA Grapalat" w:cs="Arial"/>
          <w:sz w:val="24"/>
          <w:szCs w:val="24"/>
          <w:lang w:val="en-US"/>
        </w:rPr>
        <w:t>National Polytechnic University of Armenia</w:t>
      </w:r>
      <w:r w:rsidR="00006A98" w:rsidRPr="000443BE">
        <w:rPr>
          <w:rFonts w:ascii="GHEA Grapalat" w:eastAsia="Times New Roman" w:hAnsi="GHEA Grapalat" w:cs="Arial"/>
          <w:sz w:val="24"/>
          <w:szCs w:val="24"/>
          <w:lang w:val="en-US"/>
        </w:rPr>
        <w:t xml:space="preserve"> (</w:t>
      </w:r>
      <w:r w:rsidR="00006A98" w:rsidRPr="000443BE">
        <w:rPr>
          <w:rFonts w:ascii="GHEA Grapalat" w:eastAsia="Times New Roman" w:hAnsi="GHEA Grapalat" w:cs="Arial"/>
          <w:sz w:val="24"/>
          <w:szCs w:val="24"/>
          <w:lang w:val="en-US"/>
        </w:rPr>
        <w:t>NPUA</w:t>
      </w:r>
      <w:r w:rsidR="00006A98" w:rsidRPr="000443BE">
        <w:rPr>
          <w:rFonts w:ascii="GHEA Grapalat" w:eastAsia="Times New Roman" w:hAnsi="GHEA Grapalat" w:cs="Arial"/>
          <w:sz w:val="24"/>
          <w:szCs w:val="24"/>
          <w:lang w:val="en-US"/>
        </w:rPr>
        <w:t xml:space="preserve"> </w:t>
      </w:r>
      <w:hyperlink r:id="rId5" w:history="1">
        <w:r w:rsidR="00006A98" w:rsidRPr="000443BE">
          <w:rPr>
            <w:rStyle w:val="Hyperlink"/>
            <w:rFonts w:ascii="GHEA Grapalat" w:eastAsia="Times New Roman" w:hAnsi="GHEA Grapalat" w:cs="Arial"/>
            <w:sz w:val="24"/>
            <w:szCs w:val="24"/>
            <w:lang w:val="en-US"/>
          </w:rPr>
          <w:t>https://polytech.am</w:t>
        </w:r>
      </w:hyperlink>
      <w:r w:rsidR="00006A98" w:rsidRPr="000443BE">
        <w:rPr>
          <w:rFonts w:ascii="GHEA Grapalat" w:eastAsia="Times New Roman" w:hAnsi="GHEA Grapalat" w:cs="Arial"/>
          <w:sz w:val="24"/>
          <w:szCs w:val="24"/>
          <w:lang w:val="en-US"/>
        </w:rPr>
        <w:t xml:space="preserve"> </w:t>
      </w:r>
      <w:r w:rsidR="00006A98" w:rsidRPr="000443BE">
        <w:rPr>
          <w:rFonts w:ascii="GHEA Grapalat" w:eastAsia="Times New Roman" w:hAnsi="GHEA Grapalat" w:cs="Arial"/>
          <w:sz w:val="24"/>
          <w:szCs w:val="24"/>
          <w:lang w:val="en-US"/>
        </w:rPr>
        <w:t>Arm</w:t>
      </w:r>
      <w:r w:rsidR="00006A98" w:rsidRPr="000443BE">
        <w:rPr>
          <w:rFonts w:ascii="GHEA Grapalat" w:eastAsia="Times New Roman" w:hAnsi="GHEA Grapalat" w:cs="Arial"/>
          <w:sz w:val="24"/>
          <w:szCs w:val="24"/>
          <w:lang w:val="en-US"/>
        </w:rPr>
        <w:t xml:space="preserve">enia, Yerevan, </w:t>
      </w:r>
      <w:proofErr w:type="spellStart"/>
      <w:r w:rsidR="00006A98" w:rsidRPr="000443BE">
        <w:rPr>
          <w:rFonts w:ascii="GHEA Grapalat" w:eastAsia="Times New Roman" w:hAnsi="GHEA Grapalat" w:cs="Arial"/>
          <w:sz w:val="24"/>
          <w:szCs w:val="24"/>
          <w:lang w:val="en-US"/>
        </w:rPr>
        <w:t>Teryan</w:t>
      </w:r>
      <w:proofErr w:type="spellEnd"/>
      <w:r w:rsidR="00006A98" w:rsidRPr="000443BE">
        <w:rPr>
          <w:rFonts w:ascii="GHEA Grapalat" w:eastAsia="Times New Roman" w:hAnsi="GHEA Grapalat" w:cs="Arial"/>
          <w:sz w:val="24"/>
          <w:szCs w:val="24"/>
          <w:lang w:val="en-US"/>
        </w:rPr>
        <w:t xml:space="preserve"> 105, 0009, tel.: +374 10 56 79 68 email: </w:t>
      </w:r>
      <w:r w:rsidR="00006A98" w:rsidRPr="000443BE">
        <w:rPr>
          <w:rFonts w:ascii="GHEA Grapalat" w:eastAsia="Times New Roman" w:hAnsi="GHEA Grapalat" w:cs="Arial"/>
          <w:sz w:val="24"/>
          <w:szCs w:val="24"/>
          <w:lang w:val="en-US"/>
        </w:rPr>
        <w:t>info@polytechnic.am</w:t>
      </w:r>
      <w:r w:rsidR="00006A98" w:rsidRPr="000443BE">
        <w:rPr>
          <w:rFonts w:ascii="GHEA Grapalat" w:eastAsia="Times New Roman" w:hAnsi="GHEA Grapalat" w:cs="Arial"/>
          <w:sz w:val="24"/>
          <w:szCs w:val="24"/>
          <w:lang w:val="en-US"/>
        </w:rPr>
        <w:t xml:space="preserve">) </w:t>
      </w:r>
      <w:r w:rsidRPr="000443BE">
        <w:rPr>
          <w:rFonts w:ascii="GHEA Grapalat" w:eastAsia="Times New Roman" w:hAnsi="GHEA Grapalat" w:cs="Arial"/>
          <w:sz w:val="24"/>
          <w:szCs w:val="24"/>
          <w:lang w:val="en-US"/>
        </w:rPr>
        <w:t xml:space="preserve">is one of the leading technological universities in the region and the leader in Armenia. NPUA of today, with its 3 regional branch campuses covers almost all fields of engineering spheres. The academic activities are combined with a wide range of research and development programs. </w:t>
      </w:r>
    </w:p>
    <w:p w:rsidR="007332FD" w:rsidRPr="000443BE" w:rsidRDefault="007332FD" w:rsidP="00F83D05">
      <w:pPr>
        <w:ind w:firstLine="720"/>
        <w:jc w:val="both"/>
        <w:rPr>
          <w:rFonts w:ascii="GHEA Grapalat" w:eastAsia="Times New Roman" w:hAnsi="GHEA Grapalat" w:cs="Arial"/>
          <w:sz w:val="24"/>
          <w:szCs w:val="24"/>
          <w:lang w:val="en-US"/>
        </w:rPr>
      </w:pPr>
      <w:r w:rsidRPr="000443BE">
        <w:rPr>
          <w:rFonts w:ascii="GHEA Grapalat" w:eastAsia="Times New Roman" w:hAnsi="GHEA Grapalat" w:cs="Arial"/>
          <w:sz w:val="24"/>
          <w:szCs w:val="24"/>
          <w:lang w:val="en-US"/>
        </w:rPr>
        <w:t xml:space="preserve">The University aspires to become an institution, where the admission and education resources are accessible to diverse social and age groups of learners, to both local and international students, as well as to become an institution, which is guided by global prospective and moves toward internationalization and European integration of its educational and research systems. </w:t>
      </w:r>
    </w:p>
    <w:p w:rsidR="00917FEB" w:rsidRPr="00CF6AB1" w:rsidRDefault="007332FD" w:rsidP="00F83D05">
      <w:pPr>
        <w:ind w:firstLine="720"/>
        <w:jc w:val="both"/>
        <w:rPr>
          <w:rFonts w:ascii="GHEA Grapalat" w:eastAsia="Times New Roman" w:hAnsi="GHEA Grapalat" w:cs="Arial"/>
          <w:sz w:val="24"/>
          <w:szCs w:val="24"/>
          <w:lang w:val="en-US"/>
        </w:rPr>
      </w:pPr>
      <w:r w:rsidRPr="000443BE">
        <w:rPr>
          <w:rFonts w:ascii="GHEA Grapalat" w:eastAsia="Times New Roman" w:hAnsi="GHEA Grapalat" w:cs="Arial"/>
          <w:sz w:val="24"/>
          <w:szCs w:val="24"/>
          <w:lang w:val="en-US"/>
        </w:rPr>
        <w:t>The Central Campus of the University is located in Yerevan and the Branch Campuses</w:t>
      </w:r>
      <w:r w:rsidR="00F83D05">
        <w:rPr>
          <w:rFonts w:ascii="GHEA Grapalat" w:eastAsia="Times New Roman" w:hAnsi="GHEA Grapalat" w:cs="Arial"/>
          <w:sz w:val="24"/>
          <w:szCs w:val="24"/>
          <w:lang w:val="en-US"/>
        </w:rPr>
        <w:t xml:space="preserve"> </w:t>
      </w:r>
      <w:r w:rsidRPr="000443BE">
        <w:rPr>
          <w:rFonts w:ascii="GHEA Grapalat" w:eastAsia="Times New Roman" w:hAnsi="GHEA Grapalat" w:cs="Arial"/>
          <w:sz w:val="24"/>
          <w:szCs w:val="24"/>
          <w:lang w:val="en-US"/>
        </w:rPr>
        <w:t xml:space="preserve">- in Gyumri, </w:t>
      </w:r>
      <w:proofErr w:type="spellStart"/>
      <w:r w:rsidRPr="000443BE">
        <w:rPr>
          <w:rFonts w:ascii="GHEA Grapalat" w:eastAsia="Times New Roman" w:hAnsi="GHEA Grapalat" w:cs="Arial"/>
          <w:sz w:val="24"/>
          <w:szCs w:val="24"/>
          <w:lang w:val="en-US"/>
        </w:rPr>
        <w:t>Vanadzor</w:t>
      </w:r>
      <w:proofErr w:type="spellEnd"/>
      <w:r w:rsidRPr="000443BE">
        <w:rPr>
          <w:rFonts w:ascii="GHEA Grapalat" w:eastAsia="Times New Roman" w:hAnsi="GHEA Grapalat" w:cs="Arial"/>
          <w:sz w:val="24"/>
          <w:szCs w:val="24"/>
          <w:lang w:val="en-US"/>
        </w:rPr>
        <w:t xml:space="preserve"> and Kapan. Yerevan campus of NPUA includes the following institutes and faculties: </w:t>
      </w:r>
    </w:p>
    <w:tbl>
      <w:tblPr>
        <w:tblStyle w:val="TableGrid"/>
        <w:tblW w:w="9359" w:type="dxa"/>
        <w:tblLook w:val="04A0" w:firstRow="1" w:lastRow="0" w:firstColumn="1" w:lastColumn="0" w:noHBand="0" w:noVBand="1"/>
      </w:tblPr>
      <w:tblGrid>
        <w:gridCol w:w="2979"/>
        <w:gridCol w:w="2111"/>
        <w:gridCol w:w="1501"/>
        <w:gridCol w:w="3358"/>
      </w:tblGrid>
      <w:tr w:rsidR="008E2BDB" w:rsidRPr="00917FEB" w:rsidTr="00047558">
        <w:tc>
          <w:tcPr>
            <w:tcW w:w="2793" w:type="dxa"/>
          </w:tcPr>
          <w:p w:rsidR="008E2BDB" w:rsidRPr="00917FEB" w:rsidRDefault="008E2BDB" w:rsidP="00917FEB">
            <w:pPr>
              <w:spacing w:after="160" w:line="259" w:lineRule="auto"/>
              <w:rPr>
                <w:rFonts w:ascii="GHEA Grapalat" w:eastAsia="Times New Roman" w:hAnsi="GHEA Grapalat" w:cs="Arial"/>
                <w:b/>
                <w:sz w:val="20"/>
                <w:szCs w:val="20"/>
                <w:lang w:val="en-US"/>
              </w:rPr>
            </w:pPr>
            <w:r w:rsidRPr="00917FEB">
              <w:rPr>
                <w:rFonts w:ascii="GHEA Grapalat" w:eastAsia="Times New Roman" w:hAnsi="GHEA Grapalat" w:cs="Arial"/>
                <w:b/>
                <w:sz w:val="20"/>
                <w:szCs w:val="20"/>
                <w:lang w:val="en-US"/>
              </w:rPr>
              <w:t>Name of the NPUA Institute/Faculty/Department</w:t>
            </w:r>
          </w:p>
        </w:tc>
        <w:tc>
          <w:tcPr>
            <w:tcW w:w="1907" w:type="dxa"/>
          </w:tcPr>
          <w:p w:rsidR="008E2BDB" w:rsidRPr="00917FEB" w:rsidRDefault="008E2BDB" w:rsidP="00917FEB">
            <w:pPr>
              <w:spacing w:after="160" w:line="259" w:lineRule="auto"/>
              <w:rPr>
                <w:rFonts w:ascii="GHEA Grapalat" w:eastAsia="Times New Roman" w:hAnsi="GHEA Grapalat" w:cs="Arial"/>
                <w:b/>
                <w:sz w:val="20"/>
                <w:szCs w:val="20"/>
                <w:lang w:val="en-US"/>
              </w:rPr>
            </w:pPr>
            <w:r w:rsidRPr="00917FEB">
              <w:rPr>
                <w:rFonts w:ascii="GHEA Grapalat" w:eastAsia="Times New Roman" w:hAnsi="GHEA Grapalat" w:cs="Arial"/>
                <w:b/>
                <w:sz w:val="20"/>
                <w:szCs w:val="20"/>
                <w:lang w:val="en-US"/>
              </w:rPr>
              <w:t xml:space="preserve">Head of the Institute/ </w:t>
            </w:r>
            <w:r w:rsidRPr="00917FEB">
              <w:rPr>
                <w:rFonts w:ascii="GHEA Grapalat" w:eastAsia="Times New Roman" w:hAnsi="GHEA Grapalat" w:cs="Arial"/>
                <w:b/>
                <w:sz w:val="20"/>
                <w:szCs w:val="20"/>
                <w:lang w:val="en-US"/>
              </w:rPr>
              <w:t>Faculty/Department</w:t>
            </w:r>
          </w:p>
        </w:tc>
        <w:tc>
          <w:tcPr>
            <w:tcW w:w="1347" w:type="dxa"/>
          </w:tcPr>
          <w:p w:rsidR="008E2BDB" w:rsidRPr="00917FEB" w:rsidRDefault="008E2BDB" w:rsidP="00917FEB">
            <w:pPr>
              <w:spacing w:after="160" w:line="259" w:lineRule="auto"/>
              <w:rPr>
                <w:rFonts w:ascii="GHEA Grapalat" w:eastAsia="Times New Roman" w:hAnsi="GHEA Grapalat" w:cs="Arial"/>
                <w:b/>
                <w:sz w:val="20"/>
                <w:szCs w:val="20"/>
                <w:lang w:val="en-US"/>
              </w:rPr>
            </w:pPr>
            <w:r w:rsidRPr="00917FEB">
              <w:rPr>
                <w:rFonts w:ascii="GHEA Grapalat" w:eastAsia="Times New Roman" w:hAnsi="GHEA Grapalat" w:cs="Arial"/>
                <w:b/>
                <w:sz w:val="20"/>
                <w:szCs w:val="20"/>
                <w:lang w:val="en-US"/>
              </w:rPr>
              <w:t xml:space="preserve">Telephone         </w:t>
            </w:r>
          </w:p>
        </w:tc>
        <w:tc>
          <w:tcPr>
            <w:tcW w:w="3312" w:type="dxa"/>
          </w:tcPr>
          <w:p w:rsidR="008E2BDB" w:rsidRPr="00917FEB" w:rsidRDefault="008E2BDB" w:rsidP="00917FEB">
            <w:pPr>
              <w:spacing w:after="160" w:line="259" w:lineRule="auto"/>
              <w:rPr>
                <w:rFonts w:ascii="GHEA Grapalat" w:eastAsia="Times New Roman" w:hAnsi="GHEA Grapalat" w:cs="Arial"/>
                <w:b/>
                <w:sz w:val="20"/>
                <w:szCs w:val="20"/>
                <w:lang w:val="en-US"/>
              </w:rPr>
            </w:pPr>
            <w:r w:rsidRPr="00917FEB">
              <w:rPr>
                <w:rFonts w:ascii="GHEA Grapalat" w:eastAsia="Times New Roman" w:hAnsi="GHEA Grapalat" w:cs="Arial"/>
                <w:b/>
                <w:sz w:val="20"/>
                <w:szCs w:val="20"/>
                <w:lang w:val="en-US"/>
              </w:rPr>
              <w:t>Email</w:t>
            </w:r>
          </w:p>
        </w:tc>
      </w:tr>
      <w:tr w:rsidR="008E2BDB" w:rsidRPr="00917FEB" w:rsidTr="00047558">
        <w:tc>
          <w:tcPr>
            <w:tcW w:w="2793" w:type="dxa"/>
          </w:tcPr>
          <w:p w:rsidR="008E2BDB" w:rsidRPr="00917FEB" w:rsidRDefault="008E2BD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Institute of Energetics and Electrical Engineering, (IEEE Institute)</w:t>
            </w:r>
          </w:p>
        </w:tc>
        <w:tc>
          <w:tcPr>
            <w:tcW w:w="1907" w:type="dxa"/>
          </w:tcPr>
          <w:p w:rsidR="008E2BDB" w:rsidRPr="00917FEB" w:rsidRDefault="008E2BDB" w:rsidP="00917FEB">
            <w:pPr>
              <w:spacing w:after="160" w:line="259" w:lineRule="auto"/>
              <w:rPr>
                <w:rFonts w:ascii="GHEA Grapalat" w:eastAsia="Times New Roman" w:hAnsi="GHEA Grapalat" w:cs="Arial"/>
                <w:sz w:val="20"/>
                <w:szCs w:val="20"/>
              </w:rPr>
            </w:pPr>
            <w:r w:rsidRPr="00917FEB">
              <w:rPr>
                <w:rFonts w:ascii="GHEA Grapalat" w:eastAsia="Times New Roman" w:hAnsi="GHEA Grapalat" w:cs="Arial"/>
                <w:sz w:val="20"/>
                <w:szCs w:val="20"/>
              </w:rPr>
              <w:t xml:space="preserve">Vardan Hambaryan </w:t>
            </w:r>
          </w:p>
          <w:p w:rsidR="008E2BDB" w:rsidRPr="00917FEB" w:rsidRDefault="008E2BDB" w:rsidP="00917FEB">
            <w:pPr>
              <w:spacing w:after="160" w:line="259" w:lineRule="auto"/>
              <w:rPr>
                <w:rFonts w:ascii="GHEA Grapalat" w:eastAsia="Times New Roman" w:hAnsi="GHEA Grapalat" w:cs="Arial"/>
                <w:sz w:val="20"/>
                <w:szCs w:val="20"/>
                <w:lang w:val="en-US"/>
              </w:rPr>
            </w:pPr>
          </w:p>
        </w:tc>
        <w:tc>
          <w:tcPr>
            <w:tcW w:w="1347" w:type="dxa"/>
          </w:tcPr>
          <w:p w:rsidR="008E2BDB" w:rsidRPr="00917FEB" w:rsidRDefault="001E2D8B" w:rsidP="00917FEB">
            <w:pPr>
              <w:spacing w:after="160" w:line="259" w:lineRule="auto"/>
              <w:rPr>
                <w:rFonts w:ascii="GHEA Grapalat" w:eastAsia="Times New Roman" w:hAnsi="GHEA Grapalat" w:cs="Arial"/>
                <w:sz w:val="20"/>
                <w:szCs w:val="20"/>
                <w:lang w:val="hy-AM"/>
              </w:rPr>
            </w:pPr>
            <w:r w:rsidRPr="00917FEB">
              <w:rPr>
                <w:rFonts w:ascii="GHEA Grapalat" w:eastAsia="Times New Roman" w:hAnsi="GHEA Grapalat" w:cs="Arial"/>
                <w:sz w:val="20"/>
                <w:szCs w:val="20"/>
                <w:lang w:val="en-US"/>
              </w:rPr>
              <w:t>(+374)</w:t>
            </w:r>
            <w:r w:rsidRPr="00917FEB">
              <w:rPr>
                <w:rFonts w:ascii="GHEA Grapalat" w:eastAsia="Times New Roman" w:hAnsi="GHEA Grapalat" w:cs="Arial"/>
                <w:sz w:val="20"/>
                <w:szCs w:val="20"/>
                <w:lang w:val="en-US"/>
              </w:rPr>
              <w:t>583781</w:t>
            </w:r>
          </w:p>
        </w:tc>
        <w:tc>
          <w:tcPr>
            <w:tcW w:w="3312" w:type="dxa"/>
          </w:tcPr>
          <w:p w:rsidR="008E2BDB" w:rsidRPr="00917FEB" w:rsidRDefault="001E2D8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veleng@seua.am</w:t>
            </w:r>
          </w:p>
        </w:tc>
      </w:tr>
      <w:tr w:rsidR="008E2BDB" w:rsidRPr="00917FEB" w:rsidTr="00047558">
        <w:tc>
          <w:tcPr>
            <w:tcW w:w="2793" w:type="dxa"/>
          </w:tcPr>
          <w:p w:rsidR="008E2BDB" w:rsidRPr="00917FEB" w:rsidRDefault="008E2BD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Head of the Institute of Mechanical, Machine-Building, Transportation Systems and Design (MTD Institute)</w:t>
            </w:r>
          </w:p>
        </w:tc>
        <w:tc>
          <w:tcPr>
            <w:tcW w:w="1907" w:type="dxa"/>
          </w:tcPr>
          <w:p w:rsidR="008E2BDB" w:rsidRPr="00917FEB" w:rsidRDefault="008E2BD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rPr>
              <w:t>Gagik Musayelyan</w:t>
            </w:r>
          </w:p>
        </w:tc>
        <w:tc>
          <w:tcPr>
            <w:tcW w:w="1347" w:type="dxa"/>
          </w:tcPr>
          <w:p w:rsidR="008E2BDB" w:rsidRPr="00917FEB" w:rsidRDefault="00206FD6"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(+374)</w:t>
            </w:r>
            <w:r w:rsidRPr="00917FEB">
              <w:rPr>
                <w:rFonts w:ascii="GHEA Grapalat" w:eastAsia="Times New Roman" w:hAnsi="GHEA Grapalat" w:cs="Arial"/>
                <w:sz w:val="20"/>
                <w:szCs w:val="20"/>
                <w:lang w:val="en-US"/>
              </w:rPr>
              <w:t>582330</w:t>
            </w:r>
          </w:p>
        </w:tc>
        <w:tc>
          <w:tcPr>
            <w:tcW w:w="3312" w:type="dxa"/>
          </w:tcPr>
          <w:p w:rsidR="008E2BDB" w:rsidRPr="00917FEB" w:rsidRDefault="008E2BD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rPr>
              <w:t>g.musayelyan@polytechnic.am</w:t>
            </w:r>
          </w:p>
          <w:p w:rsidR="008E2BDB" w:rsidRPr="00917FEB" w:rsidRDefault="008E2BDB" w:rsidP="00917FEB">
            <w:pPr>
              <w:spacing w:after="160" w:line="259" w:lineRule="auto"/>
              <w:rPr>
                <w:rFonts w:ascii="GHEA Grapalat" w:eastAsia="Times New Roman" w:hAnsi="GHEA Grapalat" w:cs="Arial"/>
                <w:sz w:val="20"/>
                <w:szCs w:val="20"/>
                <w:lang w:val="en-US"/>
              </w:rPr>
            </w:pPr>
          </w:p>
        </w:tc>
      </w:tr>
      <w:tr w:rsidR="001E2D8B" w:rsidRPr="00917FEB" w:rsidTr="00047558">
        <w:tc>
          <w:tcPr>
            <w:tcW w:w="2793" w:type="dxa"/>
          </w:tcPr>
          <w:p w:rsidR="001E2D8B" w:rsidRPr="00917FEB" w:rsidRDefault="001E2D8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 xml:space="preserve">Head of the Institute </w:t>
            </w:r>
            <w:proofErr w:type="spellStart"/>
            <w:r w:rsidRPr="00917FEB">
              <w:rPr>
                <w:rFonts w:ascii="GHEA Grapalat" w:eastAsia="Times New Roman" w:hAnsi="GHEA Grapalat" w:cs="Arial"/>
                <w:sz w:val="20"/>
                <w:szCs w:val="20"/>
                <w:lang w:val="en-US"/>
              </w:rPr>
              <w:t>Institute</w:t>
            </w:r>
            <w:proofErr w:type="spellEnd"/>
            <w:r w:rsidRPr="00917FEB">
              <w:rPr>
                <w:rFonts w:ascii="GHEA Grapalat" w:eastAsia="Times New Roman" w:hAnsi="GHEA Grapalat" w:cs="Arial"/>
                <w:sz w:val="20"/>
                <w:szCs w:val="20"/>
                <w:lang w:val="en-US"/>
              </w:rPr>
              <w:t xml:space="preserve"> of Information and Communication Technologies and Electronics (ICTE Institute)</w:t>
            </w:r>
          </w:p>
        </w:tc>
        <w:tc>
          <w:tcPr>
            <w:tcW w:w="1907" w:type="dxa"/>
          </w:tcPr>
          <w:p w:rsidR="001E2D8B" w:rsidRPr="00917FEB" w:rsidRDefault="001E2D8B" w:rsidP="00917FEB">
            <w:pPr>
              <w:spacing w:after="160" w:line="259" w:lineRule="auto"/>
              <w:rPr>
                <w:rFonts w:ascii="GHEA Grapalat" w:eastAsia="Times New Roman" w:hAnsi="GHEA Grapalat" w:cs="Arial"/>
                <w:sz w:val="20"/>
                <w:szCs w:val="20"/>
                <w:lang w:val="en-US"/>
              </w:rPr>
            </w:pPr>
            <w:proofErr w:type="spellStart"/>
            <w:r w:rsidRPr="00917FEB">
              <w:rPr>
                <w:rFonts w:ascii="GHEA Grapalat" w:eastAsia="Times New Roman" w:hAnsi="GHEA Grapalat" w:cs="Arial"/>
                <w:sz w:val="20"/>
                <w:szCs w:val="20"/>
                <w:lang w:val="en-US"/>
              </w:rPr>
              <w:t>Siranush</w:t>
            </w:r>
            <w:proofErr w:type="spellEnd"/>
            <w:r w:rsidRPr="00917FEB">
              <w:rPr>
                <w:rFonts w:ascii="GHEA Grapalat" w:eastAsia="Times New Roman" w:hAnsi="GHEA Grapalat" w:cs="Arial"/>
                <w:sz w:val="20"/>
                <w:szCs w:val="20"/>
                <w:lang w:val="en-US"/>
              </w:rPr>
              <w:t xml:space="preserve"> </w:t>
            </w:r>
            <w:proofErr w:type="spellStart"/>
            <w:r w:rsidRPr="00917FEB">
              <w:rPr>
                <w:rFonts w:ascii="GHEA Grapalat" w:eastAsia="Times New Roman" w:hAnsi="GHEA Grapalat" w:cs="Arial"/>
                <w:sz w:val="20"/>
                <w:szCs w:val="20"/>
                <w:lang w:val="en-US"/>
              </w:rPr>
              <w:t>Manukyan</w:t>
            </w:r>
            <w:proofErr w:type="spellEnd"/>
          </w:p>
        </w:tc>
        <w:tc>
          <w:tcPr>
            <w:tcW w:w="1347" w:type="dxa"/>
          </w:tcPr>
          <w:p w:rsidR="001E2D8B" w:rsidRPr="00917FEB" w:rsidRDefault="001E2D8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(+374)563116</w:t>
            </w:r>
          </w:p>
        </w:tc>
        <w:tc>
          <w:tcPr>
            <w:tcW w:w="3312" w:type="dxa"/>
          </w:tcPr>
          <w:p w:rsidR="001E2D8B" w:rsidRPr="00917FEB" w:rsidRDefault="001E2D8B" w:rsidP="00917FEB">
            <w:pPr>
              <w:spacing w:after="160" w:line="259" w:lineRule="auto"/>
              <w:rPr>
                <w:rFonts w:ascii="GHEA Grapalat" w:eastAsia="Times New Roman" w:hAnsi="GHEA Grapalat" w:cs="Arial"/>
                <w:sz w:val="20"/>
                <w:szCs w:val="20"/>
              </w:rPr>
            </w:pPr>
            <w:r w:rsidRPr="00917FEB">
              <w:rPr>
                <w:rFonts w:ascii="GHEA Grapalat" w:eastAsia="Times New Roman" w:hAnsi="GHEA Grapalat" w:cs="Arial"/>
                <w:sz w:val="20"/>
                <w:szCs w:val="20"/>
              </w:rPr>
              <w:t>siranush.manukyan@polytechnic.am</w:t>
            </w:r>
          </w:p>
        </w:tc>
      </w:tr>
      <w:tr w:rsidR="001E2D8B" w:rsidRPr="00917FEB" w:rsidTr="00047558">
        <w:tc>
          <w:tcPr>
            <w:tcW w:w="2793" w:type="dxa"/>
          </w:tcPr>
          <w:p w:rsidR="001E2D8B" w:rsidRPr="00917FEB" w:rsidRDefault="001E2D8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Institute of Chemical Technologies, Mining and Metallurgy</w:t>
            </w:r>
          </w:p>
        </w:tc>
        <w:tc>
          <w:tcPr>
            <w:tcW w:w="1907" w:type="dxa"/>
          </w:tcPr>
          <w:p w:rsidR="001E2D8B" w:rsidRPr="00917FEB" w:rsidRDefault="001E2D8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 xml:space="preserve">Armen </w:t>
            </w:r>
            <w:proofErr w:type="spellStart"/>
            <w:r w:rsidRPr="00917FEB">
              <w:rPr>
                <w:rFonts w:ascii="GHEA Grapalat" w:eastAsia="Times New Roman" w:hAnsi="GHEA Grapalat" w:cs="Arial"/>
                <w:sz w:val="20"/>
                <w:szCs w:val="20"/>
                <w:lang w:val="en-US"/>
              </w:rPr>
              <w:t>Hovhannisyan</w:t>
            </w:r>
            <w:proofErr w:type="spellEnd"/>
          </w:p>
        </w:tc>
        <w:tc>
          <w:tcPr>
            <w:tcW w:w="1347" w:type="dxa"/>
          </w:tcPr>
          <w:p w:rsidR="001E2D8B" w:rsidRPr="00917FEB" w:rsidRDefault="001E2D8B" w:rsidP="00917FEB">
            <w:pPr>
              <w:spacing w:after="160" w:line="259" w:lineRule="auto"/>
              <w:rPr>
                <w:rFonts w:ascii="GHEA Grapalat" w:eastAsia="Times New Roman" w:hAnsi="GHEA Grapalat" w:cs="Arial"/>
                <w:sz w:val="20"/>
                <w:szCs w:val="20"/>
                <w:lang w:val="hy-AM"/>
              </w:rPr>
            </w:pPr>
            <w:r w:rsidRPr="00917FEB">
              <w:rPr>
                <w:rFonts w:ascii="GHEA Grapalat" w:eastAsia="Times New Roman" w:hAnsi="GHEA Grapalat" w:cs="Arial"/>
                <w:sz w:val="20"/>
                <w:szCs w:val="20"/>
                <w:lang w:val="en-US"/>
              </w:rPr>
              <w:t>(+374)</w:t>
            </w:r>
            <w:r w:rsidR="00461254" w:rsidRPr="00917FEB">
              <w:rPr>
                <w:rFonts w:ascii="GHEA Grapalat" w:eastAsia="Times New Roman" w:hAnsi="GHEA Grapalat" w:cs="Arial"/>
                <w:sz w:val="20"/>
                <w:szCs w:val="20"/>
                <w:lang w:val="hy-AM"/>
              </w:rPr>
              <w:t>581114</w:t>
            </w:r>
          </w:p>
        </w:tc>
        <w:tc>
          <w:tcPr>
            <w:tcW w:w="3312" w:type="dxa"/>
          </w:tcPr>
          <w:p w:rsidR="001E2D8B" w:rsidRPr="00917FEB" w:rsidRDefault="001E2D8B" w:rsidP="00917FEB">
            <w:pPr>
              <w:spacing w:after="160" w:line="259" w:lineRule="auto"/>
              <w:rPr>
                <w:rFonts w:ascii="GHEA Grapalat" w:eastAsia="Times New Roman" w:hAnsi="GHEA Grapalat" w:cs="Arial"/>
                <w:sz w:val="20"/>
                <w:szCs w:val="20"/>
              </w:rPr>
            </w:pPr>
            <w:r w:rsidRPr="00917FEB">
              <w:rPr>
                <w:rFonts w:ascii="GHEA Grapalat" w:eastAsia="Times New Roman" w:hAnsi="GHEA Grapalat" w:cs="Arial"/>
                <w:sz w:val="20"/>
                <w:szCs w:val="20"/>
              </w:rPr>
              <w:t>hovarmen1961@gmail.com</w:t>
            </w:r>
          </w:p>
        </w:tc>
      </w:tr>
      <w:tr w:rsidR="001E2D8B" w:rsidRPr="00917FEB" w:rsidTr="00047558">
        <w:tc>
          <w:tcPr>
            <w:tcW w:w="2793" w:type="dxa"/>
          </w:tcPr>
          <w:p w:rsidR="001E2D8B" w:rsidRPr="00917FEB" w:rsidRDefault="001E2D8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lastRenderedPageBreak/>
              <w:t>Faculty of Applied Mathematics and Physics</w:t>
            </w:r>
          </w:p>
        </w:tc>
        <w:tc>
          <w:tcPr>
            <w:tcW w:w="1907" w:type="dxa"/>
          </w:tcPr>
          <w:p w:rsidR="001E2D8B" w:rsidRPr="00917FEB" w:rsidRDefault="001E2D8B" w:rsidP="00917FEB">
            <w:pPr>
              <w:spacing w:after="160" w:line="259" w:lineRule="auto"/>
              <w:rPr>
                <w:rFonts w:ascii="GHEA Grapalat" w:eastAsia="Times New Roman" w:hAnsi="GHEA Grapalat" w:cs="Arial"/>
                <w:sz w:val="20"/>
                <w:szCs w:val="20"/>
                <w:lang w:val="en-US"/>
              </w:rPr>
            </w:pPr>
            <w:proofErr w:type="spellStart"/>
            <w:r w:rsidRPr="00917FEB">
              <w:rPr>
                <w:rFonts w:ascii="GHEA Grapalat" w:eastAsia="Times New Roman" w:hAnsi="GHEA Grapalat" w:cs="Arial"/>
                <w:sz w:val="20"/>
                <w:szCs w:val="20"/>
                <w:lang w:val="en-US"/>
              </w:rPr>
              <w:t>Ishkhan</w:t>
            </w:r>
            <w:proofErr w:type="spellEnd"/>
            <w:r w:rsidRPr="00917FEB">
              <w:rPr>
                <w:rFonts w:ascii="GHEA Grapalat" w:eastAsia="Times New Roman" w:hAnsi="GHEA Grapalat" w:cs="Arial"/>
                <w:sz w:val="20"/>
                <w:szCs w:val="20"/>
                <w:lang w:val="en-US"/>
              </w:rPr>
              <w:t xml:space="preserve"> </w:t>
            </w:r>
            <w:proofErr w:type="spellStart"/>
            <w:r w:rsidRPr="00917FEB">
              <w:rPr>
                <w:rFonts w:ascii="GHEA Grapalat" w:eastAsia="Times New Roman" w:hAnsi="GHEA Grapalat" w:cs="Arial"/>
                <w:sz w:val="20"/>
                <w:szCs w:val="20"/>
                <w:lang w:val="en-US"/>
              </w:rPr>
              <w:t>Hovhannisyan</w:t>
            </w:r>
            <w:proofErr w:type="spellEnd"/>
          </w:p>
        </w:tc>
        <w:tc>
          <w:tcPr>
            <w:tcW w:w="1347" w:type="dxa"/>
          </w:tcPr>
          <w:p w:rsidR="001E2D8B" w:rsidRPr="00917FEB" w:rsidRDefault="001E2D8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(+374)</w:t>
            </w:r>
            <w:r w:rsidR="00047558" w:rsidRPr="00917FEB">
              <w:rPr>
                <w:rFonts w:ascii="GHEA Grapalat" w:eastAsia="Times New Roman" w:hAnsi="GHEA Grapalat" w:cs="Arial"/>
                <w:sz w:val="20"/>
                <w:szCs w:val="20"/>
                <w:lang w:val="en-US"/>
              </w:rPr>
              <w:t>562882</w:t>
            </w:r>
          </w:p>
        </w:tc>
        <w:tc>
          <w:tcPr>
            <w:tcW w:w="3312" w:type="dxa"/>
          </w:tcPr>
          <w:p w:rsidR="001E2D8B" w:rsidRPr="00917FEB" w:rsidRDefault="00047558" w:rsidP="00917FEB">
            <w:pPr>
              <w:spacing w:after="160" w:line="259" w:lineRule="auto"/>
              <w:rPr>
                <w:rFonts w:ascii="GHEA Grapalat" w:eastAsia="Times New Roman" w:hAnsi="GHEA Grapalat" w:cs="Arial"/>
                <w:sz w:val="20"/>
                <w:szCs w:val="20"/>
                <w:lang w:val="hy-AM"/>
              </w:rPr>
            </w:pPr>
            <w:r w:rsidRPr="00917FEB">
              <w:rPr>
                <w:rFonts w:ascii="GHEA Grapalat" w:eastAsia="Times New Roman" w:hAnsi="GHEA Grapalat" w:cs="Arial"/>
                <w:sz w:val="20"/>
                <w:szCs w:val="20"/>
              </w:rPr>
              <w:t>ishkhanh@gmail.com</w:t>
            </w:r>
          </w:p>
        </w:tc>
      </w:tr>
      <w:tr w:rsidR="00461254" w:rsidRPr="00917FEB" w:rsidTr="00047558">
        <w:tc>
          <w:tcPr>
            <w:tcW w:w="2793" w:type="dxa"/>
          </w:tcPr>
          <w:p w:rsidR="00461254" w:rsidRPr="00917FEB" w:rsidRDefault="00F83D05" w:rsidP="00F83D05">
            <w:pPr>
              <w:spacing w:after="160" w:line="259" w:lineRule="auto"/>
              <w:rPr>
                <w:rFonts w:ascii="GHEA Grapalat" w:eastAsia="Times New Roman" w:hAnsi="GHEA Grapalat" w:cs="Arial"/>
                <w:sz w:val="20"/>
                <w:szCs w:val="20"/>
                <w:lang w:val="en-US"/>
              </w:rPr>
            </w:pPr>
            <w:r>
              <w:rPr>
                <w:rFonts w:ascii="GHEA Grapalat" w:eastAsia="Times New Roman" w:hAnsi="GHEA Grapalat" w:cs="Arial"/>
                <w:sz w:val="20"/>
                <w:szCs w:val="20"/>
                <w:lang w:val="en-US"/>
              </w:rPr>
              <w:t>International Relations</w:t>
            </w:r>
            <w:r w:rsidR="0046546B" w:rsidRPr="00917FEB">
              <w:rPr>
                <w:rFonts w:ascii="GHEA Grapalat" w:eastAsia="Times New Roman" w:hAnsi="GHEA Grapalat" w:cs="Arial"/>
                <w:sz w:val="20"/>
                <w:szCs w:val="20"/>
                <w:lang w:val="en-US"/>
              </w:rPr>
              <w:t xml:space="preserve"> Department</w:t>
            </w:r>
          </w:p>
        </w:tc>
        <w:tc>
          <w:tcPr>
            <w:tcW w:w="1907" w:type="dxa"/>
          </w:tcPr>
          <w:p w:rsidR="00461254" w:rsidRPr="00917FEB" w:rsidRDefault="0046546B" w:rsidP="00917FEB">
            <w:pPr>
              <w:spacing w:after="160" w:line="259" w:lineRule="auto"/>
              <w:rPr>
                <w:rFonts w:ascii="GHEA Grapalat" w:eastAsia="Times New Roman" w:hAnsi="GHEA Grapalat" w:cs="Arial"/>
                <w:sz w:val="20"/>
                <w:szCs w:val="20"/>
                <w:lang w:val="en-US"/>
              </w:rPr>
            </w:pPr>
            <w:proofErr w:type="spellStart"/>
            <w:r w:rsidRPr="00917FEB">
              <w:rPr>
                <w:rFonts w:ascii="GHEA Grapalat" w:eastAsia="Times New Roman" w:hAnsi="GHEA Grapalat" w:cs="Arial"/>
                <w:sz w:val="20"/>
                <w:szCs w:val="20"/>
                <w:lang w:val="en-US"/>
              </w:rPr>
              <w:t>Hranush</w:t>
            </w:r>
            <w:proofErr w:type="spellEnd"/>
            <w:r w:rsidRPr="00917FEB">
              <w:rPr>
                <w:rFonts w:ascii="GHEA Grapalat" w:eastAsia="Times New Roman" w:hAnsi="GHEA Grapalat" w:cs="Arial"/>
                <w:sz w:val="20"/>
                <w:szCs w:val="20"/>
                <w:lang w:val="en-US"/>
              </w:rPr>
              <w:t xml:space="preserve"> </w:t>
            </w:r>
            <w:proofErr w:type="spellStart"/>
            <w:r w:rsidRPr="00917FEB">
              <w:rPr>
                <w:rFonts w:ascii="GHEA Grapalat" w:eastAsia="Times New Roman" w:hAnsi="GHEA Grapalat" w:cs="Arial"/>
                <w:sz w:val="20"/>
                <w:szCs w:val="20"/>
                <w:lang w:val="en-US"/>
              </w:rPr>
              <w:t>Tovmasyan</w:t>
            </w:r>
            <w:proofErr w:type="spellEnd"/>
          </w:p>
        </w:tc>
        <w:tc>
          <w:tcPr>
            <w:tcW w:w="1347" w:type="dxa"/>
          </w:tcPr>
          <w:p w:rsidR="00461254" w:rsidRPr="00917FEB" w:rsidRDefault="0046546B"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(+374)</w:t>
            </w:r>
            <w:r w:rsidRPr="00917FEB">
              <w:rPr>
                <w:rFonts w:ascii="GHEA Grapalat" w:eastAsia="Times New Roman" w:hAnsi="GHEA Grapalat" w:cs="Arial"/>
                <w:sz w:val="20"/>
                <w:szCs w:val="20"/>
                <w:lang w:val="en-US"/>
              </w:rPr>
              <w:t>567968</w:t>
            </w:r>
          </w:p>
        </w:tc>
        <w:tc>
          <w:tcPr>
            <w:tcW w:w="3312" w:type="dxa"/>
          </w:tcPr>
          <w:p w:rsidR="00461254" w:rsidRPr="00917FEB" w:rsidRDefault="004102E8" w:rsidP="00917FEB">
            <w:pPr>
              <w:spacing w:after="160" w:line="259" w:lineRule="auto"/>
              <w:rPr>
                <w:rFonts w:ascii="GHEA Grapalat" w:eastAsia="Times New Roman" w:hAnsi="GHEA Grapalat" w:cs="Arial"/>
                <w:sz w:val="20"/>
                <w:szCs w:val="20"/>
                <w:lang w:val="en-US"/>
              </w:rPr>
            </w:pPr>
            <w:r w:rsidRPr="00917FEB">
              <w:rPr>
                <w:rFonts w:ascii="GHEA Grapalat" w:eastAsia="Times New Roman" w:hAnsi="GHEA Grapalat" w:cs="Arial"/>
                <w:sz w:val="20"/>
                <w:szCs w:val="20"/>
                <w:lang w:val="en-US"/>
              </w:rPr>
              <w:t>h.tovmasyan@polytechnic.am</w:t>
            </w:r>
          </w:p>
        </w:tc>
      </w:tr>
    </w:tbl>
    <w:p w:rsidR="00776D73" w:rsidRDefault="00776D73" w:rsidP="00776D73">
      <w:pPr>
        <w:spacing w:after="0"/>
        <w:ind w:left="-630"/>
        <w:jc w:val="both"/>
        <w:rPr>
          <w:rFonts w:ascii="GHEA Grapalat" w:eastAsia="Times New Roman" w:hAnsi="GHEA Grapalat" w:cs="Arial"/>
          <w:sz w:val="20"/>
          <w:szCs w:val="20"/>
          <w:lang w:val="en-US"/>
        </w:rPr>
      </w:pPr>
    </w:p>
    <w:p w:rsidR="00776D73" w:rsidRPr="00776D73" w:rsidRDefault="00776D73" w:rsidP="00F83D05">
      <w:pPr>
        <w:ind w:firstLine="720"/>
        <w:jc w:val="both"/>
        <w:rPr>
          <w:rFonts w:ascii="GHEA Grapalat" w:eastAsia="Times New Roman" w:hAnsi="GHEA Grapalat" w:cs="Arial"/>
          <w:sz w:val="24"/>
          <w:szCs w:val="24"/>
          <w:lang w:val="en-US"/>
        </w:rPr>
      </w:pPr>
      <w:r w:rsidRPr="00776D73">
        <w:rPr>
          <w:rFonts w:ascii="GHEA Grapalat" w:eastAsia="Times New Roman" w:hAnsi="GHEA Grapalat" w:cs="Arial"/>
          <w:sz w:val="24"/>
          <w:szCs w:val="24"/>
          <w:lang w:val="en-US"/>
        </w:rPr>
        <w:t xml:space="preserve">Present specialization scope of the </w:t>
      </w:r>
      <w:r w:rsidR="00F83D05">
        <w:rPr>
          <w:rFonts w:ascii="GHEA Grapalat" w:eastAsia="Times New Roman" w:hAnsi="GHEA Grapalat" w:cs="Arial"/>
          <w:sz w:val="24"/>
          <w:szCs w:val="24"/>
          <w:lang w:val="en-US"/>
        </w:rPr>
        <w:t>U</w:t>
      </w:r>
      <w:r w:rsidRPr="00776D73">
        <w:rPr>
          <w:rFonts w:ascii="GHEA Grapalat" w:eastAsia="Times New Roman" w:hAnsi="GHEA Grapalat" w:cs="Arial"/>
          <w:sz w:val="24"/>
          <w:szCs w:val="24"/>
          <w:lang w:val="en-US"/>
        </w:rPr>
        <w:t xml:space="preserve">niversity includes all the main areas of engineering and technologies represented by over 45 BS, 48 MS and 30 PhD programs in Engineering, Industrial Economics and Management, ICT, Applied Mathematics and Physics. </w:t>
      </w:r>
    </w:p>
    <w:p w:rsidR="00776D73" w:rsidRDefault="00776D73" w:rsidP="00F83D05">
      <w:pPr>
        <w:ind w:firstLine="720"/>
        <w:jc w:val="both"/>
        <w:rPr>
          <w:rFonts w:ascii="GHEA Grapalat" w:eastAsia="Times New Roman" w:hAnsi="GHEA Grapalat" w:cs="Arial"/>
          <w:sz w:val="24"/>
          <w:szCs w:val="24"/>
          <w:lang w:val="en-US"/>
        </w:rPr>
      </w:pPr>
      <w:r w:rsidRPr="00776D73">
        <w:rPr>
          <w:rFonts w:ascii="GHEA Grapalat" w:eastAsia="Times New Roman" w:hAnsi="GHEA Grapalat" w:cs="Arial"/>
          <w:sz w:val="24"/>
          <w:szCs w:val="24"/>
          <w:lang w:val="en-US"/>
        </w:rPr>
        <w:t>NPUA has over 8000 students, the number of the regular academic staff exceeds 700 and the number of administrative staff is about 450.</w:t>
      </w:r>
    </w:p>
    <w:p w:rsidR="00776D73" w:rsidRPr="00E74ABB" w:rsidRDefault="00776D73" w:rsidP="00F83D05">
      <w:pPr>
        <w:ind w:firstLine="720"/>
        <w:jc w:val="both"/>
        <w:rPr>
          <w:rFonts w:ascii="GHEA Grapalat" w:eastAsia="Times New Roman" w:hAnsi="GHEA Grapalat" w:cs="Arial"/>
          <w:sz w:val="24"/>
          <w:szCs w:val="24"/>
          <w:lang w:val="en-US"/>
        </w:rPr>
      </w:pPr>
      <w:r w:rsidRPr="00E74ABB">
        <w:rPr>
          <w:rFonts w:ascii="GHEA Grapalat" w:eastAsia="Times New Roman" w:hAnsi="GHEA Grapalat" w:cs="Arial"/>
          <w:sz w:val="24"/>
          <w:szCs w:val="24"/>
          <w:lang w:val="en-US"/>
        </w:rPr>
        <w:t>International</w:t>
      </w:r>
      <w:r w:rsidR="001F05DB">
        <w:rPr>
          <w:rFonts w:ascii="GHEA Grapalat" w:eastAsia="Times New Roman" w:hAnsi="GHEA Grapalat" w:cs="Arial"/>
          <w:sz w:val="24"/>
          <w:szCs w:val="24"/>
          <w:lang w:val="en-US"/>
        </w:rPr>
        <w:t xml:space="preserve">ization </w:t>
      </w:r>
      <w:r w:rsidRPr="00E74ABB">
        <w:rPr>
          <w:rFonts w:ascii="GHEA Grapalat" w:eastAsia="Times New Roman" w:hAnsi="GHEA Grapalat" w:cs="Arial"/>
          <w:sz w:val="24"/>
          <w:szCs w:val="24"/>
          <w:lang w:val="en-US"/>
        </w:rPr>
        <w:t>has become one of the main aims of the development strategy. Among the primary strategic targets are the integration into the European Higher Education and Research areas</w:t>
      </w:r>
      <w:r w:rsidRPr="00E74ABB">
        <w:rPr>
          <w:rFonts w:ascii="GHEA Grapalat" w:eastAsia="Times New Roman" w:hAnsi="GHEA Grapalat" w:cs="Arial"/>
          <w:sz w:val="24"/>
          <w:szCs w:val="24"/>
          <w:lang w:val="en-US"/>
        </w:rPr>
        <w:t xml:space="preserve">, </w:t>
      </w:r>
      <w:r w:rsidRPr="00E74ABB">
        <w:rPr>
          <w:rFonts w:ascii="GHEA Grapalat" w:eastAsia="Times New Roman" w:hAnsi="GHEA Grapalat" w:cs="Arial"/>
          <w:sz w:val="24"/>
          <w:szCs w:val="24"/>
          <w:lang w:val="en-US"/>
        </w:rPr>
        <w:t>its involvement in consortiums and science information networks</w:t>
      </w:r>
      <w:r w:rsidRPr="00E74ABB">
        <w:rPr>
          <w:rFonts w:ascii="GHEA Grapalat" w:eastAsia="Times New Roman" w:hAnsi="GHEA Grapalat" w:cs="Arial"/>
          <w:sz w:val="24"/>
          <w:szCs w:val="24"/>
          <w:lang w:val="en-US"/>
        </w:rPr>
        <w:t>.</w:t>
      </w:r>
    </w:p>
    <w:p w:rsidR="00F70BF9" w:rsidRDefault="00776D73" w:rsidP="00F70BF9">
      <w:pPr>
        <w:ind w:firstLine="720"/>
        <w:jc w:val="both"/>
        <w:rPr>
          <w:rFonts w:ascii="GHEA Grapalat" w:eastAsia="Times New Roman" w:hAnsi="GHEA Grapalat" w:cs="Arial"/>
          <w:sz w:val="24"/>
          <w:szCs w:val="24"/>
          <w:lang w:val="en-US"/>
        </w:rPr>
      </w:pPr>
      <w:r w:rsidRPr="00E74ABB">
        <w:rPr>
          <w:rFonts w:ascii="GHEA Grapalat" w:eastAsia="Times New Roman" w:hAnsi="GHEA Grapalat" w:cs="Arial"/>
          <w:sz w:val="24"/>
          <w:szCs w:val="24"/>
          <w:lang w:val="en-US"/>
        </w:rPr>
        <w:t>NPUA</w:t>
      </w:r>
      <w:r w:rsidRPr="00E74ABB">
        <w:rPr>
          <w:rFonts w:ascii="GHEA Grapalat" w:eastAsia="Times New Roman" w:hAnsi="GHEA Grapalat" w:cs="Arial"/>
          <w:sz w:val="24"/>
          <w:szCs w:val="24"/>
          <w:lang w:val="en-US"/>
        </w:rPr>
        <w:t xml:space="preserve"> strives </w:t>
      </w:r>
      <w:r w:rsidR="007E3909" w:rsidRPr="00E74ABB">
        <w:rPr>
          <w:rFonts w:ascii="GHEA Grapalat" w:eastAsia="Times New Roman" w:hAnsi="GHEA Grapalat" w:cs="Arial"/>
          <w:sz w:val="24"/>
          <w:szCs w:val="24"/>
          <w:lang w:val="en-US"/>
        </w:rPr>
        <w:t xml:space="preserve">to </w:t>
      </w:r>
      <w:r w:rsidRPr="00E74ABB">
        <w:rPr>
          <w:rFonts w:ascii="GHEA Grapalat" w:eastAsia="Times New Roman" w:hAnsi="GHEA Grapalat" w:cs="Arial"/>
          <w:sz w:val="24"/>
          <w:szCs w:val="24"/>
          <w:lang w:val="en-US"/>
        </w:rPr>
        <w:t>broaden and diversify the University`s international relations, international mobility opportunities for the students and the faculty, short- to medium-term benefits in respect of student/ staff experience and academic outcomes</w:t>
      </w:r>
      <w:r w:rsidRPr="00E74ABB">
        <w:rPr>
          <w:rFonts w:ascii="GHEA Grapalat" w:eastAsia="Times New Roman" w:hAnsi="GHEA Grapalat" w:cs="Arial"/>
          <w:sz w:val="24"/>
          <w:szCs w:val="24"/>
          <w:lang w:val="en-US"/>
        </w:rPr>
        <w:t xml:space="preserve">, to </w:t>
      </w:r>
      <w:r w:rsidRPr="00E74ABB">
        <w:rPr>
          <w:rFonts w:ascii="GHEA Grapalat" w:eastAsia="Times New Roman" w:hAnsi="GHEA Grapalat" w:cs="Arial"/>
          <w:sz w:val="24"/>
          <w:szCs w:val="24"/>
          <w:lang w:val="en-US"/>
        </w:rPr>
        <w:t xml:space="preserve">initiate a continuous process of the University`s educational </w:t>
      </w:r>
      <w:proofErr w:type="spellStart"/>
      <w:r w:rsidRPr="00E74ABB">
        <w:rPr>
          <w:rFonts w:ascii="GHEA Grapalat" w:eastAsia="Times New Roman" w:hAnsi="GHEA Grapalat" w:cs="Arial"/>
          <w:sz w:val="24"/>
          <w:szCs w:val="24"/>
          <w:lang w:val="en-US"/>
        </w:rPr>
        <w:t>program</w:t>
      </w:r>
      <w:r w:rsidR="001F05DB">
        <w:rPr>
          <w:rFonts w:ascii="GHEA Grapalat" w:eastAsia="Times New Roman" w:hAnsi="GHEA Grapalat" w:cs="Arial"/>
          <w:sz w:val="24"/>
          <w:szCs w:val="24"/>
          <w:lang w:val="en-US"/>
        </w:rPr>
        <w:t>me</w:t>
      </w:r>
      <w:r w:rsidRPr="00E74ABB">
        <w:rPr>
          <w:rFonts w:ascii="GHEA Grapalat" w:eastAsia="Times New Roman" w:hAnsi="GHEA Grapalat" w:cs="Arial"/>
          <w:sz w:val="24"/>
          <w:szCs w:val="24"/>
          <w:lang w:val="en-US"/>
        </w:rPr>
        <w:t>s</w:t>
      </w:r>
      <w:proofErr w:type="spellEnd"/>
      <w:r w:rsidRPr="00E74ABB">
        <w:rPr>
          <w:rFonts w:ascii="GHEA Grapalat" w:eastAsia="Times New Roman" w:hAnsi="GHEA Grapalat" w:cs="Arial"/>
          <w:sz w:val="24"/>
          <w:szCs w:val="24"/>
          <w:lang w:val="en-US"/>
        </w:rPr>
        <w:t xml:space="preserve">. To develop and implement a multi-phase </w:t>
      </w:r>
      <w:proofErr w:type="spellStart"/>
      <w:r w:rsidRPr="00E74ABB">
        <w:rPr>
          <w:rFonts w:ascii="GHEA Grapalat" w:eastAsia="Times New Roman" w:hAnsi="GHEA Grapalat" w:cs="Arial"/>
          <w:sz w:val="24"/>
          <w:szCs w:val="24"/>
          <w:lang w:val="en-US"/>
        </w:rPr>
        <w:t>programme</w:t>
      </w:r>
      <w:proofErr w:type="spellEnd"/>
      <w:r w:rsidRPr="00E74ABB">
        <w:rPr>
          <w:rFonts w:ascii="GHEA Grapalat" w:eastAsia="Times New Roman" w:hAnsi="GHEA Grapalat" w:cs="Arial"/>
          <w:sz w:val="24"/>
          <w:szCs w:val="24"/>
          <w:lang w:val="en-US"/>
        </w:rPr>
        <w:t xml:space="preserve"> of international students</w:t>
      </w:r>
      <w:r w:rsidR="001F05DB">
        <w:rPr>
          <w:rFonts w:ascii="GHEA Grapalat" w:eastAsia="Times New Roman" w:hAnsi="GHEA Grapalat" w:cs="Arial"/>
          <w:sz w:val="24"/>
          <w:szCs w:val="24"/>
          <w:lang w:val="en-US"/>
        </w:rPr>
        <w:t>`</w:t>
      </w:r>
      <w:r w:rsidRPr="00E74ABB">
        <w:rPr>
          <w:rFonts w:ascii="GHEA Grapalat" w:eastAsia="Times New Roman" w:hAnsi="GHEA Grapalat" w:cs="Arial"/>
          <w:sz w:val="24"/>
          <w:szCs w:val="24"/>
          <w:lang w:val="en-US"/>
        </w:rPr>
        <w:t xml:space="preserve"> enrolment </w:t>
      </w:r>
      <w:r w:rsidR="001F05DB">
        <w:rPr>
          <w:rFonts w:ascii="GHEA Grapalat" w:eastAsia="Times New Roman" w:hAnsi="GHEA Grapalat" w:cs="Arial"/>
          <w:sz w:val="24"/>
          <w:szCs w:val="24"/>
          <w:lang w:val="en-US"/>
        </w:rPr>
        <w:t>in</w:t>
      </w:r>
      <w:r w:rsidRPr="00E74ABB">
        <w:rPr>
          <w:rFonts w:ascii="GHEA Grapalat" w:eastAsia="Times New Roman" w:hAnsi="GHEA Grapalat" w:cs="Arial"/>
          <w:sz w:val="24"/>
          <w:szCs w:val="24"/>
          <w:lang w:val="en-US"/>
        </w:rPr>
        <w:t xml:space="preserve"> the University</w:t>
      </w:r>
      <w:r w:rsidR="001F05DB">
        <w:rPr>
          <w:rFonts w:ascii="GHEA Grapalat" w:eastAsia="Times New Roman" w:hAnsi="GHEA Grapalat" w:cs="Arial"/>
          <w:sz w:val="24"/>
          <w:szCs w:val="24"/>
          <w:lang w:val="en-US"/>
        </w:rPr>
        <w:t>,</w:t>
      </w:r>
      <w:r w:rsidRPr="00E74ABB">
        <w:rPr>
          <w:rFonts w:ascii="GHEA Grapalat" w:eastAsia="Times New Roman" w:hAnsi="GHEA Grapalat" w:cs="Arial"/>
          <w:sz w:val="24"/>
          <w:szCs w:val="24"/>
          <w:lang w:val="en-US"/>
        </w:rPr>
        <w:t xml:space="preserve"> </w:t>
      </w:r>
      <w:r w:rsidR="001F05DB">
        <w:rPr>
          <w:rFonts w:ascii="GHEA Grapalat" w:eastAsia="Times New Roman" w:hAnsi="GHEA Grapalat" w:cs="Arial"/>
          <w:sz w:val="24"/>
          <w:szCs w:val="24"/>
          <w:lang w:val="en-US"/>
        </w:rPr>
        <w:t>t</w:t>
      </w:r>
      <w:r w:rsidRPr="00E74ABB">
        <w:rPr>
          <w:rFonts w:ascii="GHEA Grapalat" w:eastAsia="Times New Roman" w:hAnsi="GHEA Grapalat" w:cs="Arial"/>
          <w:sz w:val="24"/>
          <w:szCs w:val="24"/>
          <w:lang w:val="en-US"/>
        </w:rPr>
        <w:t>o reach the University`s broader international reputation,</w:t>
      </w:r>
      <w:r w:rsidR="001F05DB">
        <w:rPr>
          <w:rFonts w:ascii="GHEA Grapalat" w:eastAsia="Times New Roman" w:hAnsi="GHEA Grapalat" w:cs="Arial"/>
          <w:sz w:val="24"/>
          <w:szCs w:val="24"/>
          <w:lang w:val="en-US"/>
        </w:rPr>
        <w:t xml:space="preserve"> to</w:t>
      </w:r>
      <w:r w:rsidRPr="00E74ABB">
        <w:rPr>
          <w:rFonts w:ascii="GHEA Grapalat" w:eastAsia="Times New Roman" w:hAnsi="GHEA Grapalat" w:cs="Arial"/>
          <w:sz w:val="24"/>
          <w:szCs w:val="24"/>
          <w:lang w:val="en-US"/>
        </w:rPr>
        <w:t xml:space="preserve"> initiate the continu</w:t>
      </w:r>
      <w:r w:rsidR="001F05DB">
        <w:rPr>
          <w:rFonts w:ascii="GHEA Grapalat" w:eastAsia="Times New Roman" w:hAnsi="GHEA Grapalat" w:cs="Arial"/>
          <w:sz w:val="24"/>
          <w:szCs w:val="24"/>
          <w:lang w:val="en-US"/>
        </w:rPr>
        <w:t>ou</w:t>
      </w:r>
      <w:r w:rsidRPr="00E74ABB">
        <w:rPr>
          <w:rFonts w:ascii="GHEA Grapalat" w:eastAsia="Times New Roman" w:hAnsi="GHEA Grapalat" w:cs="Arial"/>
          <w:sz w:val="24"/>
          <w:szCs w:val="24"/>
          <w:lang w:val="en-US"/>
        </w:rPr>
        <w:t>s involvement of NPUA in the international integration proces</w:t>
      </w:r>
      <w:r w:rsidR="001F05DB">
        <w:rPr>
          <w:rFonts w:ascii="GHEA Grapalat" w:eastAsia="Times New Roman" w:hAnsi="GHEA Grapalat" w:cs="Arial"/>
          <w:sz w:val="24"/>
          <w:szCs w:val="24"/>
          <w:lang w:val="en-US"/>
        </w:rPr>
        <w:t xml:space="preserve">ses of science and education, cooperation with the </w:t>
      </w:r>
      <w:r w:rsidR="00F70BF9">
        <w:rPr>
          <w:rFonts w:ascii="GHEA Grapalat" w:eastAsia="Times New Roman" w:hAnsi="GHEA Grapalat" w:cs="Arial"/>
          <w:sz w:val="24"/>
          <w:szCs w:val="24"/>
          <w:lang w:val="en-US"/>
        </w:rPr>
        <w:t>TUC will be an asset.</w:t>
      </w:r>
    </w:p>
    <w:p w:rsidR="00F70BF9" w:rsidRDefault="00F70BF9" w:rsidP="00F70BF9">
      <w:pPr>
        <w:ind w:firstLine="720"/>
        <w:jc w:val="both"/>
        <w:rPr>
          <w:rFonts w:ascii="GHEA Grapalat" w:eastAsia="Times New Roman" w:hAnsi="GHEA Grapalat" w:cs="Arial"/>
          <w:sz w:val="24"/>
          <w:szCs w:val="24"/>
          <w:lang w:val="en-US"/>
        </w:rPr>
      </w:pPr>
      <w:bookmarkStart w:id="0" w:name="_GoBack"/>
      <w:bookmarkEnd w:id="0"/>
      <w:r>
        <w:rPr>
          <w:rFonts w:ascii="GHEA Grapalat" w:eastAsia="Times New Roman" w:hAnsi="GHEA Grapalat" w:cs="Arial"/>
          <w:sz w:val="24"/>
          <w:szCs w:val="24"/>
          <w:lang w:val="en-US"/>
        </w:rPr>
        <w:t>Thank you for your consideration.</w:t>
      </w:r>
    </w:p>
    <w:p w:rsidR="00F70BF9" w:rsidRDefault="00F70BF9" w:rsidP="00F83D05">
      <w:pPr>
        <w:ind w:firstLine="720"/>
        <w:jc w:val="both"/>
        <w:rPr>
          <w:rFonts w:ascii="GHEA Grapalat" w:eastAsia="Times New Roman" w:hAnsi="GHEA Grapalat" w:cs="Arial"/>
          <w:sz w:val="24"/>
          <w:szCs w:val="24"/>
          <w:lang w:val="en-US"/>
        </w:rPr>
      </w:pPr>
    </w:p>
    <w:p w:rsidR="001F05DB" w:rsidRPr="00E74ABB" w:rsidRDefault="001F05DB" w:rsidP="00F83D05">
      <w:pPr>
        <w:ind w:firstLine="720"/>
        <w:jc w:val="both"/>
        <w:rPr>
          <w:rFonts w:ascii="GHEA Grapalat" w:eastAsia="Times New Roman" w:hAnsi="GHEA Grapalat" w:cs="Arial"/>
          <w:sz w:val="24"/>
          <w:szCs w:val="24"/>
          <w:lang w:val="en-US"/>
        </w:rPr>
      </w:pPr>
    </w:p>
    <w:p w:rsidR="00776D73" w:rsidRPr="00776D73" w:rsidRDefault="00776D73" w:rsidP="00776D73">
      <w:pPr>
        <w:ind w:firstLine="720"/>
        <w:rPr>
          <w:rFonts w:ascii="GHEA Grapalat" w:eastAsia="Times New Roman" w:hAnsi="GHEA Grapalat" w:cs="Arial"/>
          <w:sz w:val="24"/>
          <w:szCs w:val="24"/>
          <w:lang w:val="en-US"/>
        </w:rPr>
      </w:pPr>
    </w:p>
    <w:p w:rsidR="00776D73" w:rsidRPr="00776D73" w:rsidRDefault="00776D73" w:rsidP="00776D73">
      <w:pPr>
        <w:ind w:firstLine="720"/>
        <w:rPr>
          <w:rFonts w:ascii="GHEA Grapalat" w:eastAsia="Times New Roman" w:hAnsi="GHEA Grapalat" w:cs="Arial"/>
          <w:sz w:val="24"/>
          <w:szCs w:val="24"/>
          <w:lang w:val="en-US"/>
        </w:rPr>
      </w:pPr>
    </w:p>
    <w:p w:rsidR="008E2BDB" w:rsidRPr="00917FEB" w:rsidRDefault="008E2BDB" w:rsidP="00917FEB">
      <w:pPr>
        <w:rPr>
          <w:rFonts w:ascii="GHEA Grapalat" w:eastAsia="Times New Roman" w:hAnsi="GHEA Grapalat" w:cs="Arial"/>
          <w:sz w:val="20"/>
          <w:szCs w:val="20"/>
          <w:lang w:val="en-US"/>
        </w:rPr>
      </w:pPr>
    </w:p>
    <w:p w:rsidR="008E2BDB" w:rsidRPr="00917FEB" w:rsidRDefault="008E2BDB" w:rsidP="00917FEB">
      <w:pPr>
        <w:rPr>
          <w:rFonts w:ascii="GHEA Grapalat" w:eastAsia="Times New Roman" w:hAnsi="GHEA Grapalat" w:cs="Arial"/>
          <w:sz w:val="20"/>
          <w:szCs w:val="20"/>
          <w:lang w:val="en-US"/>
        </w:rPr>
      </w:pPr>
    </w:p>
    <w:p w:rsidR="008E2BDB" w:rsidRPr="00917FEB" w:rsidRDefault="008E2BDB" w:rsidP="00917FEB">
      <w:pPr>
        <w:rPr>
          <w:rFonts w:ascii="GHEA Grapalat" w:eastAsia="Times New Roman" w:hAnsi="GHEA Grapalat" w:cs="Arial"/>
          <w:sz w:val="20"/>
          <w:szCs w:val="20"/>
          <w:lang w:val="en-US"/>
        </w:rPr>
      </w:pPr>
    </w:p>
    <w:p w:rsidR="008E2BDB" w:rsidRPr="00917FEB" w:rsidRDefault="008E2BDB" w:rsidP="00917FEB">
      <w:pPr>
        <w:rPr>
          <w:rFonts w:ascii="GHEA Grapalat" w:eastAsia="Times New Roman" w:hAnsi="GHEA Grapalat" w:cs="Arial"/>
          <w:sz w:val="20"/>
          <w:szCs w:val="20"/>
          <w:lang w:val="en-US"/>
        </w:rPr>
      </w:pPr>
    </w:p>
    <w:p w:rsidR="00973AAA" w:rsidRPr="00917FEB" w:rsidRDefault="00973AAA" w:rsidP="00917FEB">
      <w:pPr>
        <w:pStyle w:val="ListParagraph"/>
        <w:rPr>
          <w:rFonts w:ascii="GHEA Grapalat" w:eastAsia="Times New Roman" w:hAnsi="GHEA Grapalat" w:cs="Arial"/>
          <w:sz w:val="20"/>
          <w:szCs w:val="20"/>
        </w:rPr>
      </w:pPr>
    </w:p>
    <w:sectPr w:rsidR="00973AAA" w:rsidRPr="00917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20B7200000000000000"/>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31C7"/>
    <w:multiLevelType w:val="hybridMultilevel"/>
    <w:tmpl w:val="D32E4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B7250"/>
    <w:multiLevelType w:val="hybridMultilevel"/>
    <w:tmpl w:val="7D66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01A5C"/>
    <w:multiLevelType w:val="hybridMultilevel"/>
    <w:tmpl w:val="EE027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83"/>
    <w:rsid w:val="00006A98"/>
    <w:rsid w:val="000443BE"/>
    <w:rsid w:val="00047558"/>
    <w:rsid w:val="001B6A21"/>
    <w:rsid w:val="001E2D8B"/>
    <w:rsid w:val="001F05DB"/>
    <w:rsid w:val="00206FD6"/>
    <w:rsid w:val="004102E8"/>
    <w:rsid w:val="00461254"/>
    <w:rsid w:val="0046546B"/>
    <w:rsid w:val="00586B71"/>
    <w:rsid w:val="00692B82"/>
    <w:rsid w:val="007332FD"/>
    <w:rsid w:val="00736583"/>
    <w:rsid w:val="00776D73"/>
    <w:rsid w:val="007A129D"/>
    <w:rsid w:val="007E3909"/>
    <w:rsid w:val="008E2BDB"/>
    <w:rsid w:val="00917FEB"/>
    <w:rsid w:val="00973AAA"/>
    <w:rsid w:val="00AA6626"/>
    <w:rsid w:val="00CF6AB1"/>
    <w:rsid w:val="00E74ABB"/>
    <w:rsid w:val="00F70BF9"/>
    <w:rsid w:val="00F8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D9C9"/>
  <w15:chartTrackingRefBased/>
  <w15:docId w15:val="{EE90CDD4-17B0-46B3-8BF1-17EE1FE2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FD"/>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006A98"/>
    <w:rPr>
      <w:color w:val="0563C1" w:themeColor="hyperlink"/>
      <w:u w:val="single"/>
    </w:rPr>
  </w:style>
  <w:style w:type="table" w:styleId="TableGrid">
    <w:name w:val="Table Grid"/>
    <w:basedOn w:val="TableNormal"/>
    <w:uiPriority w:val="39"/>
    <w:rsid w:val="008E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ytec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dcterms:created xsi:type="dcterms:W3CDTF">2022-01-24T05:48:00Z</dcterms:created>
  <dcterms:modified xsi:type="dcterms:W3CDTF">2022-01-24T07:11:00Z</dcterms:modified>
</cp:coreProperties>
</file>